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华文中宋" w:hAnsi="仿宋" w:eastAsia="华文中宋" w:cs="仿宋"/>
          <w:b/>
          <w:kern w:val="0"/>
          <w:sz w:val="36"/>
          <w:szCs w:val="32"/>
        </w:rPr>
      </w:pPr>
      <w:r>
        <w:rPr>
          <w:rFonts w:hint="eastAsia" w:ascii="华文中宋" w:hAnsi="仿宋" w:eastAsia="华文中宋" w:cs="仿宋"/>
          <w:b/>
          <w:kern w:val="0"/>
          <w:sz w:val="36"/>
          <w:szCs w:val="32"/>
        </w:rPr>
        <w:t xml:space="preserve">安徽财经大学本科毕业论文（设计）工作管理办法 </w:t>
      </w:r>
    </w:p>
    <w:p>
      <w:pPr>
        <w:adjustRightInd w:val="0"/>
        <w:snapToGrid w:val="0"/>
        <w:spacing w:line="360" w:lineRule="auto"/>
        <w:jc w:val="center"/>
        <w:rPr>
          <w:rFonts w:ascii="仿宋" w:hAnsi="仿宋" w:eastAsia="仿宋" w:cs="仿宋"/>
          <w:b/>
          <w:kern w:val="0"/>
          <w:sz w:val="32"/>
          <w:szCs w:val="32"/>
        </w:rPr>
      </w:pPr>
    </w:p>
    <w:p>
      <w:pPr>
        <w:spacing w:line="360" w:lineRule="auto"/>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第一条</w:t>
      </w:r>
      <w:r>
        <w:rPr>
          <w:rFonts w:hint="eastAsia" w:ascii="仿宋" w:hAnsi="仿宋" w:eastAsia="仿宋" w:cs="仿宋"/>
          <w:color w:val="000000" w:themeColor="text1"/>
          <w:sz w:val="28"/>
          <w:szCs w:val="28"/>
        </w:rPr>
        <w:t xml:space="preserve"> 本科毕业论文（设计）是学校人才培养的重要实践教学环节。为切实提升毕业论文（设计）质量，强化指导教师责任，规范教学管理，践行“以本为本”，实现“四个回归”，提升人才培养质量，结合学校实际情况，特制定本管理办法。</w:t>
      </w:r>
    </w:p>
    <w:p>
      <w:pPr>
        <w:spacing w:line="360" w:lineRule="auto"/>
        <w:ind w:firstLine="562" w:firstLineChars="200"/>
        <w:outlineLvl w:val="1"/>
        <w:rPr>
          <w:rFonts w:ascii="仿宋" w:hAnsi="仿宋" w:eastAsia="仿宋" w:cs="仿宋"/>
          <w:color w:val="000000" w:themeColor="text1"/>
          <w:kern w:val="0"/>
          <w:sz w:val="28"/>
          <w:szCs w:val="28"/>
        </w:rPr>
      </w:pPr>
      <w:bookmarkStart w:id="0" w:name="_Toc460329573"/>
      <w:r>
        <w:rPr>
          <w:rFonts w:hint="eastAsia" w:ascii="仿宋" w:hAnsi="仿宋" w:eastAsia="仿宋" w:cs="仿宋"/>
          <w:b/>
          <w:bCs/>
          <w:color w:val="000000" w:themeColor="text1"/>
          <w:kern w:val="0"/>
          <w:sz w:val="28"/>
          <w:szCs w:val="28"/>
        </w:rPr>
        <w:t xml:space="preserve">第二条 </w:t>
      </w:r>
      <w:bookmarkEnd w:id="0"/>
      <w:r>
        <w:rPr>
          <w:rFonts w:hint="eastAsia" w:ascii="仿宋" w:hAnsi="仿宋" w:eastAsia="仿宋" w:cs="仿宋"/>
          <w:color w:val="000000" w:themeColor="text1"/>
          <w:kern w:val="0"/>
          <w:sz w:val="28"/>
          <w:szCs w:val="28"/>
        </w:rPr>
        <w:t>教务处与学院共同负责毕业论文（设计）的组织工作。教务处制定毕业论文（设计）工作指导性规章制度，每年九月份下发毕业论文（设计）工作方案；学院制定毕业论文（设计）相关工作实施细则，负责毕业论文（设计）工作落实。</w:t>
      </w:r>
    </w:p>
    <w:p>
      <w:pPr>
        <w:spacing w:line="360" w:lineRule="auto"/>
        <w:ind w:firstLine="562" w:firstLineChars="200"/>
        <w:outlineLvl w:val="1"/>
        <w:rPr>
          <w:rFonts w:ascii="仿宋" w:hAnsi="仿宋" w:eastAsia="仿宋" w:cs="仿宋"/>
          <w:color w:val="auto"/>
          <w:kern w:val="0"/>
          <w:sz w:val="28"/>
          <w:szCs w:val="28"/>
        </w:rPr>
      </w:pPr>
      <w:bookmarkStart w:id="1" w:name="_Toc460329577"/>
      <w:r>
        <w:rPr>
          <w:rFonts w:hint="eastAsia" w:ascii="仿宋" w:hAnsi="仿宋" w:eastAsia="仿宋" w:cs="仿宋"/>
          <w:b/>
          <w:bCs/>
          <w:color w:val="000000" w:themeColor="text1"/>
          <w:kern w:val="0"/>
          <w:sz w:val="28"/>
          <w:szCs w:val="28"/>
        </w:rPr>
        <w:t xml:space="preserve">第三条 </w:t>
      </w:r>
      <w:bookmarkEnd w:id="1"/>
      <w:r>
        <w:rPr>
          <w:rFonts w:hint="eastAsia" w:ascii="仿宋" w:hAnsi="仿宋" w:eastAsia="仿宋" w:cs="仿宋"/>
          <w:color w:val="000000" w:themeColor="text1"/>
          <w:kern w:val="0"/>
          <w:sz w:val="28"/>
          <w:szCs w:val="28"/>
        </w:rPr>
        <w:t>指导教师必须由教学、科研经历的讲师职称以上或博士毕业的教师担任，因指导不力受到相应处罚的或讲师职称以下的人员不能担任指导教师；指导教师按职称类别分配指导学生数，</w:t>
      </w:r>
      <w:bookmarkStart w:id="5" w:name="_GoBack"/>
      <w:r>
        <w:rPr>
          <w:rFonts w:hint="eastAsia" w:ascii="仿宋" w:hAnsi="仿宋" w:eastAsia="仿宋" w:cs="仿宋"/>
          <w:color w:val="auto"/>
          <w:kern w:val="0"/>
          <w:sz w:val="28"/>
          <w:szCs w:val="28"/>
        </w:rPr>
        <w:t>同一届学生讲师不超过10人，副教授不超过13人，教授不超过15人。（实施论文替代的学生不包含在指导学生数之内）</w:t>
      </w:r>
    </w:p>
    <w:bookmarkEnd w:id="5"/>
    <w:p>
      <w:pPr>
        <w:spacing w:line="360" w:lineRule="auto"/>
        <w:ind w:firstLine="562" w:firstLineChars="200"/>
        <w:outlineLvl w:val="1"/>
        <w:rPr>
          <w:rFonts w:ascii="仿宋" w:hAnsi="仿宋" w:eastAsia="仿宋" w:cs="仿宋"/>
          <w:color w:val="000000" w:themeColor="text1"/>
          <w:kern w:val="0"/>
          <w:sz w:val="28"/>
          <w:szCs w:val="28"/>
        </w:rPr>
      </w:pPr>
      <w:r>
        <w:rPr>
          <w:rFonts w:hint="eastAsia" w:ascii="仿宋" w:hAnsi="仿宋" w:eastAsia="仿宋" w:cs="仿宋"/>
          <w:b/>
          <w:bCs/>
          <w:color w:val="000000" w:themeColor="text1"/>
          <w:sz w:val="28"/>
          <w:szCs w:val="28"/>
        </w:rPr>
        <w:t>第四条</w:t>
      </w:r>
      <w:r>
        <w:rPr>
          <w:rFonts w:hint="eastAsia" w:ascii="仿宋" w:hAnsi="仿宋" w:eastAsia="仿宋" w:cs="仿宋"/>
          <w:color w:val="000000" w:themeColor="text1"/>
          <w:kern w:val="0"/>
          <w:sz w:val="28"/>
          <w:szCs w:val="28"/>
        </w:rPr>
        <w:t xml:space="preserve"> 各学院应在其网站上公布符合条件的指导教师教学科研经历，供全校学生选择，在优先确保本学院指导教师的前提下，鼓励学生根据个人兴趣与爱好跨学院、跨专业选择导师。在个人自愿、双向选择后学院仍有未指导的学生，由学院调剂分配，但不能超过学校规定的指导人数。</w:t>
      </w:r>
    </w:p>
    <w:p>
      <w:pPr>
        <w:spacing w:line="360" w:lineRule="auto"/>
        <w:ind w:firstLine="562" w:firstLineChars="200"/>
        <w:outlineLvl w:val="1"/>
        <w:rPr>
          <w:rFonts w:ascii="仿宋" w:hAnsi="仿宋" w:eastAsia="仿宋" w:cs="仿宋"/>
          <w:color w:val="000000" w:themeColor="text1"/>
          <w:kern w:val="0"/>
          <w:sz w:val="28"/>
          <w:szCs w:val="28"/>
        </w:rPr>
      </w:pPr>
      <w:r>
        <w:rPr>
          <w:rFonts w:hint="eastAsia" w:ascii="仿宋" w:hAnsi="仿宋" w:eastAsia="仿宋" w:cs="仿宋"/>
          <w:b/>
          <w:bCs/>
          <w:color w:val="000000" w:themeColor="text1"/>
          <w:sz w:val="28"/>
          <w:szCs w:val="28"/>
        </w:rPr>
        <w:t xml:space="preserve">第五条 </w:t>
      </w:r>
      <w:r>
        <w:rPr>
          <w:rFonts w:hint="eastAsia" w:ascii="仿宋" w:hAnsi="仿宋" w:eastAsia="仿宋" w:cs="仿宋"/>
          <w:color w:val="000000" w:themeColor="text1"/>
          <w:kern w:val="0"/>
          <w:sz w:val="28"/>
          <w:szCs w:val="28"/>
        </w:rPr>
        <w:t>本科生在大三上学期确定论文指导教师。指导教师一旦确定，除特殊原因（如调离学校、因指导论文受到处罚等）外不得更改。</w:t>
      </w:r>
    </w:p>
    <w:p>
      <w:pPr>
        <w:spacing w:line="360" w:lineRule="auto"/>
        <w:ind w:firstLine="562" w:firstLineChars="200"/>
        <w:outlineLvl w:val="2"/>
        <w:rPr>
          <w:rFonts w:ascii="仿宋" w:hAnsi="仿宋" w:eastAsia="仿宋" w:cs="仿宋"/>
          <w:color w:val="000000" w:themeColor="text1"/>
          <w:sz w:val="28"/>
          <w:szCs w:val="28"/>
        </w:rPr>
      </w:pPr>
      <w:bookmarkStart w:id="2" w:name="_Toc460329579"/>
      <w:r>
        <w:rPr>
          <w:rFonts w:hint="eastAsia" w:ascii="仿宋" w:hAnsi="仿宋" w:eastAsia="仿宋" w:cs="仿宋"/>
          <w:b/>
          <w:bCs/>
          <w:color w:val="000000" w:themeColor="text1"/>
          <w:sz w:val="28"/>
          <w:szCs w:val="28"/>
        </w:rPr>
        <w:t>第六条</w:t>
      </w:r>
      <w:r>
        <w:rPr>
          <w:rFonts w:hint="eastAsia" w:ascii="仿宋" w:hAnsi="仿宋" w:eastAsia="仿宋" w:cs="仿宋"/>
          <w:color w:val="000000" w:themeColor="text1"/>
          <w:kern w:val="0"/>
          <w:sz w:val="28"/>
          <w:szCs w:val="28"/>
        </w:rPr>
        <w:t xml:space="preserve"> </w:t>
      </w:r>
      <w:bookmarkEnd w:id="2"/>
      <w:r>
        <w:rPr>
          <w:rFonts w:hint="eastAsia" w:ascii="仿宋" w:hAnsi="仿宋" w:eastAsia="仿宋" w:cs="仿宋"/>
          <w:color w:val="000000" w:themeColor="text1"/>
          <w:kern w:val="0"/>
          <w:sz w:val="28"/>
          <w:szCs w:val="28"/>
        </w:rPr>
        <w:t>毕业论文应在导师的指导下根据个人的兴趣与爱好确定选题方向</w:t>
      </w:r>
      <w:r>
        <w:rPr>
          <w:rFonts w:hint="eastAsia" w:ascii="仿宋" w:hAnsi="仿宋" w:eastAsia="仿宋" w:cs="仿宋"/>
          <w:color w:val="000000" w:themeColor="text1"/>
          <w:sz w:val="28"/>
          <w:szCs w:val="28"/>
        </w:rPr>
        <w:t>。选题应避免题目空泛、过大或过小，应紧密联系实际，结合现实社会经济问题，具有现实意义。第六学期第19、20周为指导教师提交选题和学院审定时间。</w:t>
      </w:r>
    </w:p>
    <w:p>
      <w:pPr>
        <w:spacing w:line="360" w:lineRule="auto"/>
        <w:ind w:firstLine="562" w:firstLineChars="20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 xml:space="preserve">第七条 </w:t>
      </w:r>
      <w:r>
        <w:rPr>
          <w:rFonts w:hint="eastAsia" w:ascii="仿宋" w:hAnsi="仿宋" w:eastAsia="仿宋" w:cs="仿宋"/>
          <w:color w:val="000000" w:themeColor="text1"/>
          <w:sz w:val="28"/>
          <w:szCs w:val="28"/>
        </w:rPr>
        <w:t>指导教师做好学生的开题工作，督促学生查阅文献资料，查阅中外文参考文献10篇以上，撰写文献综述，按照学校的规范格式指导学生独立完成毕业论文的写作。</w:t>
      </w:r>
      <w:r>
        <w:rPr>
          <w:rFonts w:hint="eastAsia" w:ascii="仿宋" w:hAnsi="仿宋" w:eastAsia="仿宋" w:cs="仿宋"/>
          <w:sz w:val="28"/>
          <w:szCs w:val="28"/>
        </w:rPr>
        <w:t>毕业论文字数根据各专业“国标”确定。</w:t>
      </w:r>
    </w:p>
    <w:p>
      <w:pPr>
        <w:adjustRightInd w:val="0"/>
        <w:snapToGrid w:val="0"/>
        <w:spacing w:line="360" w:lineRule="auto"/>
        <w:ind w:firstLine="562" w:firstLineChars="200"/>
        <w:outlineLvl w:val="1"/>
        <w:rPr>
          <w:rFonts w:ascii="仿宋" w:hAnsi="仿宋" w:eastAsia="仿宋" w:cs="仿宋"/>
          <w:color w:val="000000" w:themeColor="text1"/>
          <w:sz w:val="28"/>
          <w:szCs w:val="28"/>
        </w:rPr>
      </w:pPr>
      <w:bookmarkStart w:id="3" w:name="_Toc460329580"/>
      <w:r>
        <w:rPr>
          <w:rFonts w:hint="eastAsia" w:ascii="仿宋" w:hAnsi="仿宋" w:eastAsia="仿宋" w:cs="仿宋"/>
          <w:b/>
          <w:bCs/>
          <w:color w:val="000000" w:themeColor="text1"/>
          <w:sz w:val="28"/>
          <w:szCs w:val="28"/>
        </w:rPr>
        <w:t>第八条</w:t>
      </w:r>
      <w:bookmarkEnd w:id="3"/>
      <w:r>
        <w:rPr>
          <w:rFonts w:hint="eastAsia" w:ascii="仿宋" w:hAnsi="仿宋" w:eastAsia="仿宋" w:cs="仿宋"/>
          <w:b/>
          <w:bCs/>
          <w:color w:val="000000" w:themeColor="text1"/>
          <w:sz w:val="28"/>
          <w:szCs w:val="28"/>
        </w:rPr>
        <w:t xml:space="preserve"> </w:t>
      </w:r>
      <w:r>
        <w:rPr>
          <w:rFonts w:hint="eastAsia" w:ascii="仿宋" w:hAnsi="仿宋" w:eastAsia="仿宋" w:cs="仿宋"/>
          <w:color w:val="000000" w:themeColor="text1"/>
          <w:sz w:val="28"/>
          <w:szCs w:val="28"/>
        </w:rPr>
        <w:t>学生将定稿论文在规定时间内向指导教师提出答辩申请，并经导师全面审查、签署意见后方可进行检测和评审。教务处统一组织对毕业论文（设计）进行学术不端检测。学院组织安排论文盲审和论文答辩工作。</w:t>
      </w:r>
    </w:p>
    <w:p>
      <w:pPr>
        <w:adjustRightInd w:val="0"/>
        <w:snapToGrid w:val="0"/>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color w:val="000000" w:themeColor="text1"/>
          <w:sz w:val="28"/>
          <w:szCs w:val="28"/>
        </w:rPr>
        <w:t xml:space="preserve">第九条  </w:t>
      </w:r>
      <w:r>
        <w:rPr>
          <w:rFonts w:hint="eastAsia" w:ascii="仿宋" w:hAnsi="仿宋" w:eastAsia="仿宋" w:cs="仿宋"/>
          <w:bCs/>
          <w:color w:val="000000" w:themeColor="text1"/>
          <w:sz w:val="28"/>
          <w:szCs w:val="28"/>
        </w:rPr>
        <w:t>教务处利用“</w:t>
      </w:r>
      <w:r>
        <w:rPr>
          <w:rFonts w:hint="eastAsia" w:ascii="仿宋" w:hAnsi="仿宋" w:eastAsia="仿宋" w:cs="仿宋"/>
          <w:bCs/>
          <w:color w:val="000000" w:themeColor="text1"/>
          <w:spacing w:val="-1"/>
          <w:sz w:val="28"/>
          <w:szCs w:val="28"/>
        </w:rPr>
        <w:t>大学生毕业论</w:t>
      </w:r>
      <w:r>
        <w:rPr>
          <w:rFonts w:hint="eastAsia" w:ascii="仿宋" w:hAnsi="仿宋" w:eastAsia="仿宋" w:cs="仿宋"/>
          <w:color w:val="000000" w:themeColor="text1"/>
          <w:spacing w:val="-1"/>
          <w:sz w:val="28"/>
          <w:szCs w:val="28"/>
        </w:rPr>
        <w:t>文（设计）管理系统</w:t>
      </w:r>
      <w:r>
        <w:rPr>
          <w:rFonts w:hint="eastAsia" w:ascii="仿宋" w:hAnsi="仿宋" w:eastAsia="仿宋" w:cs="仿宋"/>
          <w:color w:val="000000" w:themeColor="text1"/>
          <w:sz w:val="28"/>
          <w:szCs w:val="28"/>
        </w:rPr>
        <w:t xml:space="preserve">”，对所有毕业论文（设计）进行学术不端检测。论文复制比在20%以上的不可参加答辩及成绩评定。 </w:t>
      </w:r>
    </w:p>
    <w:p>
      <w:pPr>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 xml:space="preserve">第十条 </w:t>
      </w:r>
      <w:r>
        <w:rPr>
          <w:rFonts w:hint="eastAsia" w:ascii="仿宋" w:hAnsi="仿宋" w:eastAsia="仿宋" w:cs="仿宋"/>
          <w:color w:val="000000" w:themeColor="text1"/>
          <w:sz w:val="28"/>
          <w:szCs w:val="28"/>
        </w:rPr>
        <w:t>毕业论文（设计）评阅采取盲审制，通过系统进行评阅， 所提交的论文（设计）中不得出现指导教师、学生和其他可能辨认出论文（设计）来源的字样。指导教师不能评阅本人指导的毕业论文（设计）；学院指定讲师及以上教师担任论文评阅人；评阅人依据教务处规定的评审标准，进行详细评述，评阅意见不少于100字。评阅人按百分制评定论文成绩。</w:t>
      </w:r>
    </w:p>
    <w:p>
      <w:pPr>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 xml:space="preserve">第十一条 </w:t>
      </w:r>
      <w:r>
        <w:rPr>
          <w:rFonts w:hint="eastAsia" w:ascii="仿宋" w:hAnsi="仿宋" w:eastAsia="仿宋" w:cs="仿宋"/>
          <w:color w:val="000000" w:themeColor="text1"/>
          <w:sz w:val="28"/>
          <w:szCs w:val="28"/>
        </w:rPr>
        <w:t xml:space="preserve">所有毕业论文（设计）除替代外必须参加答辩，其中公开发表在CSSCI期刊以下的论文可就代表作参与论文答辩。各学院应成立答辩工作委员会，设立若干答辩小组负责答辩工作，副教授以上职称教师担任组长，答辩小组成员不少于3人。答辩时间在第八学期第9-11周完成。 </w:t>
      </w:r>
    </w:p>
    <w:p>
      <w:pPr>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 xml:space="preserve">第十二条 </w:t>
      </w:r>
      <w:r>
        <w:rPr>
          <w:rFonts w:hint="eastAsia" w:ascii="仿宋" w:hAnsi="仿宋" w:eastAsia="仿宋" w:cs="仿宋"/>
          <w:color w:val="000000" w:themeColor="text1"/>
          <w:sz w:val="28"/>
          <w:szCs w:val="28"/>
        </w:rPr>
        <w:t>毕业论文（设计）替代从严控制，下列认定的成果，可以实施毕业论文（设计）替代。</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（1）发表在三类期刊以上的学术论文和公开出版的学术著作（学生承担的字数在2万字以上）。</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2060"/>
          <w:sz w:val="28"/>
          <w:szCs w:val="28"/>
        </w:rPr>
        <w:t>（2）</w:t>
      </w:r>
      <w:r>
        <w:rPr>
          <w:rFonts w:hint="eastAsia" w:ascii="仿宋" w:hAnsi="仿宋" w:eastAsia="仿宋" w:cs="仿宋"/>
          <w:color w:val="000000" w:themeColor="text1"/>
          <w:sz w:val="28"/>
          <w:szCs w:val="28"/>
        </w:rPr>
        <w:t>参加A和B类学科竞赛并获得一定等级奖项的作品。</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A类学科竞赛包括校级一等奖（主持人），省级三等奖（前三）、省级二等奖以上获奖者。</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B类学科竞赛为一等奖主持人。</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（3）在校期间获得市级以上奖励的科技成果、发明创造专利和实用新型专利等。</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（4）获得五级以上的智库成果。</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（5）其他可以代表其专业水平和能力的项目优秀研究成果等，具体由学院教授委员会提出申请，报教务处审核。</w:t>
      </w:r>
    </w:p>
    <w:p>
      <w:pPr>
        <w:spacing w:line="360" w:lineRule="auto"/>
        <w:ind w:firstLine="560" w:firstLineChars="200"/>
        <w:outlineLvl w:val="1"/>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毕业论文替代由学生提出申请，指导教师出具意见。学院教授委员会认定。</w:t>
      </w:r>
    </w:p>
    <w:p>
      <w:pPr>
        <w:adjustRightInd w:val="0"/>
        <w:snapToGrid w:val="0"/>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rPr>
        <w:t xml:space="preserve">第十三条 </w:t>
      </w:r>
      <w:r>
        <w:rPr>
          <w:rFonts w:hint="eastAsia" w:ascii="仿宋" w:hAnsi="仿宋" w:eastAsia="仿宋" w:cs="仿宋"/>
          <w:color w:val="000000" w:themeColor="text1"/>
          <w:sz w:val="28"/>
          <w:szCs w:val="28"/>
        </w:rPr>
        <w:t>毕业论文（设计）成绩按百分制进行评定。按指导教师、论文评阅人及答辩小组评定成绩三、三、四比例综合确定毕业论文（设计）初步成绩，经学院论文答辩委员会综合平衡确定毕业论文等级及成绩。按专业成绩分布，优秀率不高于参与论文答辩人数的20%，良好率不高于40%。</w:t>
      </w:r>
      <w:bookmarkStart w:id="4" w:name="_Toc460329583"/>
      <w:r>
        <w:rPr>
          <w:rFonts w:hint="eastAsia" w:ascii="仿宋" w:hAnsi="仿宋" w:eastAsia="仿宋" w:cs="仿宋"/>
          <w:color w:val="000000" w:themeColor="text1"/>
          <w:sz w:val="28"/>
          <w:szCs w:val="28"/>
        </w:rPr>
        <w:t>实施毕业论文（设计）替代的毕业论文（设计）成绩等级由学院论文答辩委员会确定。</w:t>
      </w:r>
    </w:p>
    <w:p>
      <w:pPr>
        <w:spacing w:line="360" w:lineRule="auto"/>
        <w:ind w:firstLine="560" w:firstLineChars="200"/>
        <w:outlineLvl w:val="2"/>
        <w:rPr>
          <w:rFonts w:ascii="仿宋" w:hAnsi="仿宋" w:eastAsia="仿宋" w:cs="仿宋"/>
          <w:color w:val="000000" w:themeColor="text1"/>
          <w:sz w:val="28"/>
          <w:szCs w:val="28"/>
        </w:rPr>
      </w:pPr>
    </w:p>
    <w:p>
      <w:pPr>
        <w:spacing w:line="360" w:lineRule="auto"/>
        <w:ind w:firstLine="562" w:firstLineChars="200"/>
        <w:outlineLvl w:val="2"/>
        <w:rPr>
          <w:rFonts w:ascii="仿宋" w:hAnsi="仿宋" w:eastAsia="仿宋" w:cs="仿宋"/>
          <w:color w:val="000000" w:themeColor="text1"/>
          <w:sz w:val="28"/>
          <w:szCs w:val="28"/>
        </w:rPr>
      </w:pPr>
      <w:r>
        <w:rPr>
          <w:rFonts w:hint="eastAsia" w:ascii="仿宋" w:hAnsi="仿宋" w:eastAsia="仿宋" w:cs="仿宋"/>
          <w:b/>
          <w:color w:val="000000" w:themeColor="text1"/>
          <w:sz w:val="28"/>
          <w:szCs w:val="28"/>
        </w:rPr>
        <w:t xml:space="preserve">第十四条 </w:t>
      </w:r>
      <w:bookmarkEnd w:id="4"/>
      <w:r>
        <w:rPr>
          <w:rFonts w:hint="eastAsia" w:ascii="仿宋" w:hAnsi="仿宋" w:eastAsia="仿宋" w:cs="仿宋"/>
          <w:b/>
          <w:color w:val="000000" w:themeColor="text1"/>
          <w:sz w:val="28"/>
          <w:szCs w:val="28"/>
        </w:rPr>
        <w:t xml:space="preserve"> </w:t>
      </w:r>
      <w:r>
        <w:rPr>
          <w:rFonts w:hint="eastAsia" w:ascii="仿宋" w:hAnsi="仿宋" w:eastAsia="仿宋" w:cs="仿宋"/>
          <w:color w:val="000000" w:themeColor="text1"/>
          <w:sz w:val="28"/>
          <w:szCs w:val="28"/>
        </w:rPr>
        <w:t xml:space="preserve">学院按要求报送毕业论文（设计）成绩，报教务处备案。学院对毕业论文（设计）工作进行工作总结，并交教务处备案。学院负责毕业论文（设计）存档工作。 </w:t>
      </w:r>
    </w:p>
    <w:p>
      <w:pPr>
        <w:adjustRightInd w:val="0"/>
        <w:snapToGrid w:val="0"/>
        <w:spacing w:line="360" w:lineRule="auto"/>
        <w:ind w:firstLine="562" w:firstLineChars="200"/>
        <w:outlineLvl w:val="1"/>
        <w:rPr>
          <w:rFonts w:ascii="仿宋" w:hAnsi="仿宋" w:eastAsia="仿宋" w:cs="仿宋"/>
          <w:color w:val="000000" w:themeColor="text1"/>
          <w:sz w:val="28"/>
          <w:szCs w:val="28"/>
          <w:shd w:val="clear" w:color="auto" w:fill="FFFFFF"/>
        </w:rPr>
      </w:pPr>
      <w:r>
        <w:rPr>
          <w:rFonts w:hint="eastAsia" w:ascii="仿宋" w:hAnsi="仿宋" w:eastAsia="仿宋" w:cs="仿宋"/>
          <w:b/>
          <w:bCs/>
          <w:color w:val="000000" w:themeColor="text1"/>
          <w:sz w:val="28"/>
          <w:szCs w:val="28"/>
        </w:rPr>
        <w:t xml:space="preserve">第十五条 </w:t>
      </w:r>
      <w:r>
        <w:rPr>
          <w:rFonts w:hint="eastAsia" w:ascii="仿宋" w:hAnsi="仿宋" w:eastAsia="仿宋" w:cs="仿宋"/>
          <w:color w:val="000000" w:themeColor="text1"/>
          <w:sz w:val="28"/>
          <w:szCs w:val="28"/>
        </w:rPr>
        <w:t>教务处每年组织专家对毕业论文（设计）进行一次抽检，主要检查流程操作是否符合规范，是否存在弄虚作假等行为，积极参加教育厅、教育部学位论文的抽检，并接受社会监督，抽检为不合格的论文，追究学生的毕业资格，扣除导师相应工作量，并取消指导教师一年指导任务；对存在</w:t>
      </w:r>
      <w:r>
        <w:rPr>
          <w:rFonts w:hint="eastAsia" w:ascii="仿宋" w:hAnsi="仿宋" w:eastAsia="仿宋" w:cs="仿宋"/>
          <w:color w:val="000000" w:themeColor="text1"/>
          <w:sz w:val="28"/>
          <w:szCs w:val="28"/>
          <w:shd w:val="clear" w:color="auto" w:fill="FFFFFF"/>
        </w:rPr>
        <w:t>抄袭、伪造、篡改、代写、买卖毕业论文</w:t>
      </w:r>
      <w:r>
        <w:rPr>
          <w:rFonts w:hint="eastAsia" w:ascii="仿宋" w:hAnsi="仿宋" w:eastAsia="仿宋" w:cs="仿宋"/>
          <w:color w:val="000000" w:themeColor="text1"/>
          <w:sz w:val="28"/>
          <w:szCs w:val="28"/>
        </w:rPr>
        <w:t>（设计）</w:t>
      </w:r>
      <w:r>
        <w:rPr>
          <w:rFonts w:hint="eastAsia" w:ascii="仿宋" w:hAnsi="仿宋" w:eastAsia="仿宋" w:cs="仿宋"/>
          <w:color w:val="000000" w:themeColor="text1"/>
          <w:sz w:val="28"/>
          <w:szCs w:val="28"/>
          <w:shd w:val="clear" w:color="auto" w:fill="FFFFFF"/>
        </w:rPr>
        <w:t>等严重违反学术道德的违纪行为，将严肃处理，取消学生毕业资格，取消指导教师指导资格，扣</w:t>
      </w:r>
      <w:r>
        <w:rPr>
          <w:rFonts w:hint="eastAsia" w:ascii="仿宋" w:hAnsi="仿宋" w:eastAsia="仿宋" w:cs="仿宋"/>
          <w:color w:val="000000" w:themeColor="text1"/>
          <w:sz w:val="28"/>
          <w:szCs w:val="28"/>
        </w:rPr>
        <w:t>除指导教师相应工作量，并根据情节轻重，按学校相关规定处理</w:t>
      </w:r>
      <w:r>
        <w:rPr>
          <w:rFonts w:hint="eastAsia" w:ascii="仿宋" w:hAnsi="仿宋" w:eastAsia="仿宋" w:cs="仿宋"/>
          <w:color w:val="000000" w:themeColor="text1"/>
          <w:sz w:val="28"/>
          <w:szCs w:val="28"/>
          <w:shd w:val="clear" w:color="auto" w:fill="FFFFFF"/>
        </w:rPr>
        <w:t>。</w:t>
      </w:r>
    </w:p>
    <w:p>
      <w:pPr>
        <w:adjustRightInd w:val="0"/>
        <w:snapToGrid w:val="0"/>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shd w:val="clear" w:color="auto" w:fill="FFFFFF"/>
        </w:rPr>
        <w:t xml:space="preserve">第十六条 </w:t>
      </w:r>
      <w:r>
        <w:rPr>
          <w:rFonts w:hint="eastAsia" w:ascii="仿宋" w:hAnsi="仿宋" w:eastAsia="仿宋" w:cs="仿宋"/>
          <w:color w:val="000000" w:themeColor="text1"/>
          <w:sz w:val="28"/>
          <w:szCs w:val="28"/>
        </w:rPr>
        <w:t>教务处组织专家对学院推荐的优秀论文（设计）进行评比，遴选一百篇优秀论文（设计）。同时评选优秀指导教师。</w:t>
      </w:r>
    </w:p>
    <w:p>
      <w:pPr>
        <w:adjustRightInd w:val="0"/>
        <w:snapToGrid w:val="0"/>
        <w:spacing w:line="360" w:lineRule="auto"/>
        <w:ind w:firstLine="562" w:firstLineChars="200"/>
        <w:outlineLvl w:val="1"/>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shd w:val="clear" w:color="auto" w:fill="FFFFFF"/>
        </w:rPr>
        <w:t>第十七条</w:t>
      </w:r>
      <w:r>
        <w:rPr>
          <w:rFonts w:hint="eastAsia" w:ascii="仿宋" w:hAnsi="仿宋" w:eastAsia="仿宋" w:cs="仿宋"/>
          <w:color w:val="000000" w:themeColor="text1"/>
          <w:sz w:val="28"/>
          <w:szCs w:val="28"/>
        </w:rPr>
        <w:t xml:space="preserve"> 评阅和指导毕业论文按以下计算工作量：</w:t>
      </w:r>
    </w:p>
    <w:p>
      <w:pPr>
        <w:adjustRightInd w:val="0"/>
        <w:snapToGrid w:val="0"/>
        <w:spacing w:line="360" w:lineRule="auto"/>
        <w:ind w:firstLine="560" w:firstLineChars="200"/>
        <w:outlineLvl w:val="1"/>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（1）毕业论文（设计）评阅，评阅教师每篇认定1课时。</w:t>
      </w:r>
    </w:p>
    <w:p>
      <w:pPr>
        <w:adjustRightInd w:val="0"/>
        <w:snapToGrid w:val="0"/>
        <w:spacing w:line="360" w:lineRule="auto"/>
        <w:ind w:firstLine="560" w:firstLineChars="200"/>
        <w:outlineLvl w:val="1"/>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2）毕业论文（设计）获得“百优”论文的指导教师工作量认定为20个课时，获得优秀等级论文的指导教师工作量15个课时，获得良好等级论文的指导教师工作量12个课时，获得合格等级论文的指导教师工作量10个课时，不合格经过修改达到合格等级8个课时。不合格经过修改仍未达到要求0课时。</w:t>
      </w:r>
    </w:p>
    <w:p>
      <w:pPr>
        <w:adjustRightInd w:val="0"/>
        <w:snapToGrid w:val="0"/>
        <w:spacing w:line="360" w:lineRule="auto"/>
        <w:ind w:firstLine="560" w:firstLineChars="200"/>
        <w:outlineLvl w:val="1"/>
        <w:rPr>
          <w:rFonts w:ascii="仿宋" w:hAnsi="仿宋" w:eastAsia="仿宋" w:cs="仿宋"/>
          <w:color w:val="000000" w:themeColor="text1"/>
          <w:sz w:val="28"/>
          <w:szCs w:val="28"/>
          <w:shd w:val="clear" w:color="auto" w:fill="FFFFFF"/>
        </w:rPr>
      </w:pPr>
      <w:r>
        <w:rPr>
          <w:rFonts w:hint="eastAsia" w:ascii="仿宋" w:hAnsi="仿宋" w:eastAsia="仿宋" w:cs="仿宋"/>
          <w:color w:val="000000" w:themeColor="text1"/>
          <w:sz w:val="28"/>
          <w:szCs w:val="28"/>
          <w:shd w:val="clear" w:color="auto" w:fill="FFFFFF"/>
        </w:rPr>
        <w:t>（3）论文替代的成果指导教师有工作量认定的，论文指导教师工作量按相应等级减半计算。</w:t>
      </w:r>
    </w:p>
    <w:p>
      <w:pPr>
        <w:adjustRightInd w:val="0"/>
        <w:snapToGrid w:val="0"/>
        <w:spacing w:line="360" w:lineRule="auto"/>
        <w:ind w:firstLine="562" w:firstLineChars="200"/>
        <w:rPr>
          <w:rFonts w:ascii="仿宋" w:hAnsi="仿宋" w:eastAsia="仿宋" w:cs="仿宋"/>
          <w:b/>
          <w:color w:val="000000" w:themeColor="text1"/>
          <w:sz w:val="28"/>
          <w:szCs w:val="28"/>
        </w:rPr>
      </w:pPr>
      <w:r>
        <w:rPr>
          <w:rFonts w:hint="eastAsia" w:ascii="仿宋" w:hAnsi="仿宋" w:eastAsia="仿宋" w:cs="仿宋"/>
          <w:b/>
          <w:bCs/>
          <w:color w:val="000000" w:themeColor="text1"/>
          <w:sz w:val="28"/>
          <w:szCs w:val="28"/>
          <w:shd w:val="clear" w:color="auto" w:fill="FFFFFF"/>
        </w:rPr>
        <w:t>第十八条</w:t>
      </w:r>
      <w:r>
        <w:rPr>
          <w:rFonts w:hint="eastAsia" w:ascii="仿宋" w:hAnsi="仿宋" w:eastAsia="仿宋" w:cs="仿宋"/>
          <w:color w:val="000000" w:themeColor="text1"/>
          <w:sz w:val="28"/>
          <w:szCs w:val="28"/>
        </w:rPr>
        <w:t xml:space="preserve"> 为获得百篇优秀毕业论文（设计）的学生颁发荣誉证书。</w:t>
      </w:r>
      <w:r>
        <w:rPr>
          <w:rFonts w:hint="eastAsia" w:ascii="仿宋" w:hAnsi="仿宋" w:eastAsia="仿宋" w:cs="仿宋"/>
          <w:b/>
          <w:color w:val="000000" w:themeColor="text1"/>
          <w:sz w:val="28"/>
          <w:szCs w:val="28"/>
        </w:rPr>
        <w:t xml:space="preserve">                </w:t>
      </w:r>
    </w:p>
    <w:p>
      <w:pPr>
        <w:adjustRightInd w:val="0"/>
        <w:snapToGrid w:val="0"/>
        <w:spacing w:line="360" w:lineRule="auto"/>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shd w:val="clear" w:color="auto" w:fill="FFFFFF"/>
        </w:rPr>
        <w:t>第十九条</w:t>
      </w:r>
      <w:r>
        <w:rPr>
          <w:rFonts w:hint="eastAsia" w:ascii="仿宋" w:hAnsi="仿宋" w:eastAsia="仿宋" w:cs="仿宋"/>
          <w:color w:val="000000" w:themeColor="text1"/>
          <w:sz w:val="28"/>
          <w:szCs w:val="28"/>
        </w:rPr>
        <w:t xml:space="preserve"> 本办法自2019年开始执行，其中导师选择和确定办法从2018级本科生开始执行。原《</w:t>
      </w:r>
      <w:r>
        <w:rPr>
          <w:rFonts w:hint="eastAsia" w:ascii="仿宋" w:hAnsi="仿宋" w:eastAsia="仿宋" w:cs="仿宋"/>
          <w:color w:val="000000" w:themeColor="text1"/>
          <w:spacing w:val="-2"/>
          <w:sz w:val="28"/>
          <w:szCs w:val="28"/>
        </w:rPr>
        <w:t>安徽财经大学关于本科毕业论文（设计）工作改革意见 (校政字[2010] 80号)</w:t>
      </w:r>
      <w:r>
        <w:rPr>
          <w:rFonts w:hint="eastAsia" w:ascii="仿宋" w:hAnsi="仿宋" w:eastAsia="仿宋" w:cs="仿宋"/>
          <w:color w:val="000000" w:themeColor="text1"/>
          <w:sz w:val="28"/>
          <w:szCs w:val="28"/>
        </w:rPr>
        <w:t xml:space="preserve"> 》文件同时废止。</w:t>
      </w:r>
    </w:p>
    <w:p>
      <w:pPr>
        <w:adjustRightInd w:val="0"/>
        <w:snapToGrid w:val="0"/>
        <w:spacing w:line="360" w:lineRule="auto"/>
        <w:ind w:firstLine="562" w:firstLineChars="200"/>
        <w:rPr>
          <w:rFonts w:ascii="仿宋" w:hAnsi="仿宋" w:eastAsia="仿宋" w:cs="仿宋"/>
          <w:color w:val="000000" w:themeColor="text1"/>
          <w:sz w:val="28"/>
          <w:szCs w:val="28"/>
        </w:rPr>
      </w:pPr>
      <w:r>
        <w:rPr>
          <w:rFonts w:hint="eastAsia" w:ascii="仿宋" w:hAnsi="仿宋" w:eastAsia="仿宋" w:cs="仿宋"/>
          <w:b/>
          <w:bCs/>
          <w:color w:val="000000" w:themeColor="text1"/>
          <w:sz w:val="28"/>
          <w:szCs w:val="28"/>
          <w:shd w:val="clear" w:color="auto" w:fill="FFFFFF"/>
        </w:rPr>
        <w:t>第二十条</w:t>
      </w:r>
      <w:r>
        <w:rPr>
          <w:rFonts w:hint="eastAsia" w:ascii="仿宋" w:hAnsi="仿宋" w:eastAsia="仿宋" w:cs="仿宋"/>
          <w:color w:val="000000" w:themeColor="text1"/>
          <w:sz w:val="28"/>
          <w:szCs w:val="28"/>
        </w:rPr>
        <w:t xml:space="preserve"> 本办法由教务处负责解释</w:t>
      </w:r>
    </w:p>
    <w:p>
      <w:pPr>
        <w:adjustRightInd w:val="0"/>
        <w:snapToGrid w:val="0"/>
        <w:spacing w:line="360" w:lineRule="auto"/>
        <w:ind w:firstLine="560" w:firstLineChars="200"/>
        <w:rPr>
          <w:rFonts w:ascii="仿宋" w:hAnsi="仿宋" w:eastAsia="仿宋" w:cs="仿宋"/>
          <w:color w:val="000000" w:themeColor="text1"/>
          <w:sz w:val="28"/>
          <w:szCs w:val="28"/>
        </w:rPr>
      </w:pPr>
    </w:p>
    <w:p>
      <w:pPr>
        <w:adjustRightInd w:val="0"/>
        <w:snapToGrid w:val="0"/>
        <w:spacing w:line="360" w:lineRule="auto"/>
        <w:ind w:firstLine="560" w:firstLineChars="2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w:t>
      </w:r>
    </w:p>
    <w:p>
      <w:pPr>
        <w:adjustRightInd w:val="0"/>
        <w:snapToGrid w:val="0"/>
        <w:spacing w:line="360" w:lineRule="auto"/>
        <w:ind w:left="5319" w:leftChars="266" w:hanging="4760" w:hangingChars="17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 xml:space="preserve">                                                                         </w:t>
      </w:r>
    </w:p>
    <w:p>
      <w:pPr>
        <w:adjustRightInd w:val="0"/>
        <w:snapToGrid w:val="0"/>
        <w:spacing w:line="360" w:lineRule="auto"/>
        <w:ind w:left="4129" w:leftChars="1966" w:firstLine="1960" w:firstLineChars="70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安徽财经大学</w:t>
      </w:r>
    </w:p>
    <w:p>
      <w:pPr>
        <w:adjustRightInd w:val="0"/>
        <w:snapToGrid w:val="0"/>
        <w:spacing w:line="360" w:lineRule="auto"/>
        <w:ind w:left="4129" w:leftChars="1966" w:firstLine="2100" w:firstLineChars="750"/>
        <w:rPr>
          <w:rFonts w:ascii="仿宋" w:hAnsi="仿宋" w:eastAsia="仿宋" w:cs="仿宋"/>
          <w:color w:val="000000" w:themeColor="text1"/>
          <w:sz w:val="28"/>
          <w:szCs w:val="28"/>
        </w:rPr>
      </w:pPr>
      <w:r>
        <w:rPr>
          <w:rFonts w:hint="eastAsia" w:ascii="仿宋" w:hAnsi="仿宋" w:eastAsia="仿宋" w:cs="仿宋"/>
          <w:color w:val="000000" w:themeColor="text1"/>
          <w:sz w:val="28"/>
          <w:szCs w:val="28"/>
        </w:rPr>
        <w:t>2019年1月</w:t>
      </w:r>
    </w:p>
    <w:sectPr>
      <w:footerReference r:id="rId3" w:type="default"/>
      <w:pgSz w:w="11907" w:h="16839"/>
      <w:pgMar w:top="1588" w:right="1588" w:bottom="1588" w:left="1701" w:header="1247"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622441"/>
    </w:sdtPr>
    <w:sdtContent>
      <w:sdt>
        <w:sdtPr>
          <w:id w:val="1728636285"/>
        </w:sdtPr>
        <w:sdtContent>
          <w:p>
            <w:pPr>
              <w:pStyle w:val="11"/>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diYmJlNjliZTg4MGFmYzAwMGY3OGYzNjY2MWFmMjkifQ=="/>
  </w:docVars>
  <w:rsids>
    <w:rsidRoot w:val="00842985"/>
    <w:rsid w:val="00013048"/>
    <w:rsid w:val="00016736"/>
    <w:rsid w:val="00020F71"/>
    <w:rsid w:val="000370AF"/>
    <w:rsid w:val="0003735B"/>
    <w:rsid w:val="00045D74"/>
    <w:rsid w:val="00054C5C"/>
    <w:rsid w:val="000558D2"/>
    <w:rsid w:val="000565F9"/>
    <w:rsid w:val="00056F1A"/>
    <w:rsid w:val="00056FBF"/>
    <w:rsid w:val="00057AB0"/>
    <w:rsid w:val="00060F7F"/>
    <w:rsid w:val="00065224"/>
    <w:rsid w:val="00067E4C"/>
    <w:rsid w:val="000736B2"/>
    <w:rsid w:val="00076715"/>
    <w:rsid w:val="00093BB7"/>
    <w:rsid w:val="00096C88"/>
    <w:rsid w:val="000A0CDD"/>
    <w:rsid w:val="000A1534"/>
    <w:rsid w:val="000A3779"/>
    <w:rsid w:val="000A40F7"/>
    <w:rsid w:val="000B1D87"/>
    <w:rsid w:val="000B7C4B"/>
    <w:rsid w:val="000B7EDB"/>
    <w:rsid w:val="000C7621"/>
    <w:rsid w:val="000D2F78"/>
    <w:rsid w:val="000D48B3"/>
    <w:rsid w:val="000D6499"/>
    <w:rsid w:val="000E3CEF"/>
    <w:rsid w:val="000E6C86"/>
    <w:rsid w:val="00101B40"/>
    <w:rsid w:val="00104347"/>
    <w:rsid w:val="00110C9A"/>
    <w:rsid w:val="00112641"/>
    <w:rsid w:val="00125A82"/>
    <w:rsid w:val="00142416"/>
    <w:rsid w:val="001475DE"/>
    <w:rsid w:val="0015149F"/>
    <w:rsid w:val="00152C94"/>
    <w:rsid w:val="00160272"/>
    <w:rsid w:val="001660C1"/>
    <w:rsid w:val="00174C93"/>
    <w:rsid w:val="00175ADF"/>
    <w:rsid w:val="00185A93"/>
    <w:rsid w:val="00194A23"/>
    <w:rsid w:val="00195E96"/>
    <w:rsid w:val="001A6BE0"/>
    <w:rsid w:val="001B0F74"/>
    <w:rsid w:val="001B2319"/>
    <w:rsid w:val="001B5268"/>
    <w:rsid w:val="001D1FB4"/>
    <w:rsid w:val="001D359C"/>
    <w:rsid w:val="001F373B"/>
    <w:rsid w:val="001F3B71"/>
    <w:rsid w:val="0020261E"/>
    <w:rsid w:val="00235120"/>
    <w:rsid w:val="00235A1B"/>
    <w:rsid w:val="00236478"/>
    <w:rsid w:val="00236F5E"/>
    <w:rsid w:val="002434C6"/>
    <w:rsid w:val="00246031"/>
    <w:rsid w:val="002500FB"/>
    <w:rsid w:val="00251132"/>
    <w:rsid w:val="00251445"/>
    <w:rsid w:val="002527B8"/>
    <w:rsid w:val="00254FC3"/>
    <w:rsid w:val="00254FE0"/>
    <w:rsid w:val="0027348F"/>
    <w:rsid w:val="00280E63"/>
    <w:rsid w:val="00284340"/>
    <w:rsid w:val="002903EC"/>
    <w:rsid w:val="002A48FC"/>
    <w:rsid w:val="002A52A7"/>
    <w:rsid w:val="002C5160"/>
    <w:rsid w:val="002C6C59"/>
    <w:rsid w:val="002D09FC"/>
    <w:rsid w:val="002D23D2"/>
    <w:rsid w:val="002D48B9"/>
    <w:rsid w:val="002D69CC"/>
    <w:rsid w:val="002E240D"/>
    <w:rsid w:val="002E7933"/>
    <w:rsid w:val="002F407A"/>
    <w:rsid w:val="002F42D1"/>
    <w:rsid w:val="002F72AB"/>
    <w:rsid w:val="00300762"/>
    <w:rsid w:val="00300F9F"/>
    <w:rsid w:val="003025CB"/>
    <w:rsid w:val="003207F2"/>
    <w:rsid w:val="00320BDE"/>
    <w:rsid w:val="00331EE2"/>
    <w:rsid w:val="00335812"/>
    <w:rsid w:val="00353FA2"/>
    <w:rsid w:val="00356900"/>
    <w:rsid w:val="003641DB"/>
    <w:rsid w:val="0036460C"/>
    <w:rsid w:val="00364DC8"/>
    <w:rsid w:val="00366829"/>
    <w:rsid w:val="0038087A"/>
    <w:rsid w:val="00383965"/>
    <w:rsid w:val="00383CAD"/>
    <w:rsid w:val="00390658"/>
    <w:rsid w:val="00391E07"/>
    <w:rsid w:val="00393CB1"/>
    <w:rsid w:val="003A037C"/>
    <w:rsid w:val="003A30C3"/>
    <w:rsid w:val="003A576C"/>
    <w:rsid w:val="003B62CF"/>
    <w:rsid w:val="003B76F5"/>
    <w:rsid w:val="003B7C7D"/>
    <w:rsid w:val="003C0750"/>
    <w:rsid w:val="003C2680"/>
    <w:rsid w:val="003D3EAA"/>
    <w:rsid w:val="003D4FC1"/>
    <w:rsid w:val="003D7EFB"/>
    <w:rsid w:val="003E3111"/>
    <w:rsid w:val="00402E8B"/>
    <w:rsid w:val="004040DA"/>
    <w:rsid w:val="00412D92"/>
    <w:rsid w:val="00420427"/>
    <w:rsid w:val="00426CD4"/>
    <w:rsid w:val="00427BB1"/>
    <w:rsid w:val="004302F7"/>
    <w:rsid w:val="00444112"/>
    <w:rsid w:val="00447C90"/>
    <w:rsid w:val="0045488F"/>
    <w:rsid w:val="00455D16"/>
    <w:rsid w:val="00456B62"/>
    <w:rsid w:val="00460422"/>
    <w:rsid w:val="00473248"/>
    <w:rsid w:val="0049525D"/>
    <w:rsid w:val="004A2A6A"/>
    <w:rsid w:val="004A3F2E"/>
    <w:rsid w:val="004A5450"/>
    <w:rsid w:val="004B0D20"/>
    <w:rsid w:val="004B22B7"/>
    <w:rsid w:val="004B41BA"/>
    <w:rsid w:val="004B5B55"/>
    <w:rsid w:val="004C3F33"/>
    <w:rsid w:val="004C7A85"/>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46A6B"/>
    <w:rsid w:val="00554006"/>
    <w:rsid w:val="005646F0"/>
    <w:rsid w:val="00576D7A"/>
    <w:rsid w:val="005848B6"/>
    <w:rsid w:val="005851DF"/>
    <w:rsid w:val="005855CE"/>
    <w:rsid w:val="005855D2"/>
    <w:rsid w:val="00585A5F"/>
    <w:rsid w:val="00591FFE"/>
    <w:rsid w:val="005923FA"/>
    <w:rsid w:val="005A6A52"/>
    <w:rsid w:val="005B1148"/>
    <w:rsid w:val="005B1242"/>
    <w:rsid w:val="005B7066"/>
    <w:rsid w:val="005B7AB4"/>
    <w:rsid w:val="005C3DB0"/>
    <w:rsid w:val="005C7877"/>
    <w:rsid w:val="005D2C43"/>
    <w:rsid w:val="005D2E7B"/>
    <w:rsid w:val="005D2EC1"/>
    <w:rsid w:val="005E05E8"/>
    <w:rsid w:val="005F202E"/>
    <w:rsid w:val="005F6635"/>
    <w:rsid w:val="005F6E81"/>
    <w:rsid w:val="00600A65"/>
    <w:rsid w:val="00610110"/>
    <w:rsid w:val="006112BA"/>
    <w:rsid w:val="00612D87"/>
    <w:rsid w:val="00615D5C"/>
    <w:rsid w:val="00621C5F"/>
    <w:rsid w:val="00626545"/>
    <w:rsid w:val="006323E7"/>
    <w:rsid w:val="00653CB2"/>
    <w:rsid w:val="00655285"/>
    <w:rsid w:val="006567E3"/>
    <w:rsid w:val="006568F7"/>
    <w:rsid w:val="00662EC0"/>
    <w:rsid w:val="00670D84"/>
    <w:rsid w:val="006814D8"/>
    <w:rsid w:val="0068263D"/>
    <w:rsid w:val="00682BEC"/>
    <w:rsid w:val="006835D6"/>
    <w:rsid w:val="0068414C"/>
    <w:rsid w:val="00695858"/>
    <w:rsid w:val="006A136A"/>
    <w:rsid w:val="006A27F0"/>
    <w:rsid w:val="006A698B"/>
    <w:rsid w:val="006A69D5"/>
    <w:rsid w:val="006A7186"/>
    <w:rsid w:val="006B4F1C"/>
    <w:rsid w:val="006B6AEB"/>
    <w:rsid w:val="006C6691"/>
    <w:rsid w:val="006D5B7C"/>
    <w:rsid w:val="006E0C0B"/>
    <w:rsid w:val="006F5A8A"/>
    <w:rsid w:val="00702B50"/>
    <w:rsid w:val="00702E00"/>
    <w:rsid w:val="00703F39"/>
    <w:rsid w:val="00704334"/>
    <w:rsid w:val="00704867"/>
    <w:rsid w:val="00714F89"/>
    <w:rsid w:val="007150BA"/>
    <w:rsid w:val="00717158"/>
    <w:rsid w:val="007241DA"/>
    <w:rsid w:val="00732E93"/>
    <w:rsid w:val="0073402C"/>
    <w:rsid w:val="00736F2C"/>
    <w:rsid w:val="007439DB"/>
    <w:rsid w:val="00752F68"/>
    <w:rsid w:val="007546F6"/>
    <w:rsid w:val="00763B57"/>
    <w:rsid w:val="00782297"/>
    <w:rsid w:val="007925B2"/>
    <w:rsid w:val="007C334A"/>
    <w:rsid w:val="007C405F"/>
    <w:rsid w:val="007C4540"/>
    <w:rsid w:val="007C6418"/>
    <w:rsid w:val="007C7843"/>
    <w:rsid w:val="007D4360"/>
    <w:rsid w:val="007E11BD"/>
    <w:rsid w:val="007E6C6A"/>
    <w:rsid w:val="007F569C"/>
    <w:rsid w:val="00801B2C"/>
    <w:rsid w:val="0080324D"/>
    <w:rsid w:val="00805F67"/>
    <w:rsid w:val="008079FA"/>
    <w:rsid w:val="00822F04"/>
    <w:rsid w:val="00825E4F"/>
    <w:rsid w:val="008276BA"/>
    <w:rsid w:val="008309E5"/>
    <w:rsid w:val="00832943"/>
    <w:rsid w:val="00842985"/>
    <w:rsid w:val="0084636E"/>
    <w:rsid w:val="00861030"/>
    <w:rsid w:val="00875470"/>
    <w:rsid w:val="00881A90"/>
    <w:rsid w:val="00883259"/>
    <w:rsid w:val="0088500D"/>
    <w:rsid w:val="00885998"/>
    <w:rsid w:val="00886450"/>
    <w:rsid w:val="00887A79"/>
    <w:rsid w:val="00891078"/>
    <w:rsid w:val="00896836"/>
    <w:rsid w:val="008A5365"/>
    <w:rsid w:val="008B5404"/>
    <w:rsid w:val="008B5B2D"/>
    <w:rsid w:val="008C4651"/>
    <w:rsid w:val="008C4C7F"/>
    <w:rsid w:val="008D1E21"/>
    <w:rsid w:val="008D667D"/>
    <w:rsid w:val="008D73D5"/>
    <w:rsid w:val="008D7482"/>
    <w:rsid w:val="008E1544"/>
    <w:rsid w:val="008E2DFE"/>
    <w:rsid w:val="008E62BA"/>
    <w:rsid w:val="008F30D3"/>
    <w:rsid w:val="008F3A59"/>
    <w:rsid w:val="008F487F"/>
    <w:rsid w:val="00906D39"/>
    <w:rsid w:val="009112A8"/>
    <w:rsid w:val="00912E4E"/>
    <w:rsid w:val="00917211"/>
    <w:rsid w:val="00954240"/>
    <w:rsid w:val="00955404"/>
    <w:rsid w:val="00963DFA"/>
    <w:rsid w:val="00965ABB"/>
    <w:rsid w:val="0097566F"/>
    <w:rsid w:val="00977792"/>
    <w:rsid w:val="00991C6D"/>
    <w:rsid w:val="0099676B"/>
    <w:rsid w:val="00997453"/>
    <w:rsid w:val="009A6CB7"/>
    <w:rsid w:val="009A7B7D"/>
    <w:rsid w:val="009B1B2E"/>
    <w:rsid w:val="009C100A"/>
    <w:rsid w:val="009C16A3"/>
    <w:rsid w:val="009D00C7"/>
    <w:rsid w:val="009D0549"/>
    <w:rsid w:val="009D2C17"/>
    <w:rsid w:val="009D6CE3"/>
    <w:rsid w:val="009F3060"/>
    <w:rsid w:val="00A01516"/>
    <w:rsid w:val="00A01636"/>
    <w:rsid w:val="00A03758"/>
    <w:rsid w:val="00A067AD"/>
    <w:rsid w:val="00A06D09"/>
    <w:rsid w:val="00A0717A"/>
    <w:rsid w:val="00A107A8"/>
    <w:rsid w:val="00A150E0"/>
    <w:rsid w:val="00A15B46"/>
    <w:rsid w:val="00A176D1"/>
    <w:rsid w:val="00A21279"/>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72D2"/>
    <w:rsid w:val="00AC236F"/>
    <w:rsid w:val="00AC5A08"/>
    <w:rsid w:val="00AC7CEF"/>
    <w:rsid w:val="00AD4FD8"/>
    <w:rsid w:val="00AE3AF4"/>
    <w:rsid w:val="00AE423F"/>
    <w:rsid w:val="00AF33B5"/>
    <w:rsid w:val="00AF39F3"/>
    <w:rsid w:val="00AF5D0F"/>
    <w:rsid w:val="00AF68B9"/>
    <w:rsid w:val="00B0411A"/>
    <w:rsid w:val="00B04802"/>
    <w:rsid w:val="00B05DA6"/>
    <w:rsid w:val="00B05F98"/>
    <w:rsid w:val="00B061A7"/>
    <w:rsid w:val="00B104B9"/>
    <w:rsid w:val="00B13463"/>
    <w:rsid w:val="00B14A7F"/>
    <w:rsid w:val="00B17D85"/>
    <w:rsid w:val="00B202AF"/>
    <w:rsid w:val="00B20A9A"/>
    <w:rsid w:val="00B37404"/>
    <w:rsid w:val="00B41CDB"/>
    <w:rsid w:val="00B5673B"/>
    <w:rsid w:val="00B64576"/>
    <w:rsid w:val="00B654A8"/>
    <w:rsid w:val="00B71935"/>
    <w:rsid w:val="00B8126D"/>
    <w:rsid w:val="00B8449C"/>
    <w:rsid w:val="00B844C5"/>
    <w:rsid w:val="00B93C25"/>
    <w:rsid w:val="00B94EA3"/>
    <w:rsid w:val="00BA0994"/>
    <w:rsid w:val="00BA1363"/>
    <w:rsid w:val="00BA4DC1"/>
    <w:rsid w:val="00BB1B58"/>
    <w:rsid w:val="00BB3496"/>
    <w:rsid w:val="00BB4783"/>
    <w:rsid w:val="00BB6BC5"/>
    <w:rsid w:val="00BC2D36"/>
    <w:rsid w:val="00BC4E22"/>
    <w:rsid w:val="00BC67C8"/>
    <w:rsid w:val="00BD0452"/>
    <w:rsid w:val="00BD457C"/>
    <w:rsid w:val="00BE3761"/>
    <w:rsid w:val="00BF6BCD"/>
    <w:rsid w:val="00C000F8"/>
    <w:rsid w:val="00C00EAA"/>
    <w:rsid w:val="00C021F0"/>
    <w:rsid w:val="00C1422A"/>
    <w:rsid w:val="00C20806"/>
    <w:rsid w:val="00C47798"/>
    <w:rsid w:val="00C502D0"/>
    <w:rsid w:val="00C54DEA"/>
    <w:rsid w:val="00C63D8D"/>
    <w:rsid w:val="00C73F8B"/>
    <w:rsid w:val="00C87094"/>
    <w:rsid w:val="00C90991"/>
    <w:rsid w:val="00C928C9"/>
    <w:rsid w:val="00CA5390"/>
    <w:rsid w:val="00CA6559"/>
    <w:rsid w:val="00CB0A70"/>
    <w:rsid w:val="00CB2553"/>
    <w:rsid w:val="00CB3F0F"/>
    <w:rsid w:val="00CB6B17"/>
    <w:rsid w:val="00CC389F"/>
    <w:rsid w:val="00CD0AD6"/>
    <w:rsid w:val="00CD1951"/>
    <w:rsid w:val="00CE59A2"/>
    <w:rsid w:val="00CF0FF4"/>
    <w:rsid w:val="00CF10B8"/>
    <w:rsid w:val="00CF4B0B"/>
    <w:rsid w:val="00D021B2"/>
    <w:rsid w:val="00D0372F"/>
    <w:rsid w:val="00D049D3"/>
    <w:rsid w:val="00D07321"/>
    <w:rsid w:val="00D10629"/>
    <w:rsid w:val="00D14647"/>
    <w:rsid w:val="00D166B5"/>
    <w:rsid w:val="00D16C27"/>
    <w:rsid w:val="00D2206B"/>
    <w:rsid w:val="00D23F4F"/>
    <w:rsid w:val="00D25813"/>
    <w:rsid w:val="00D30716"/>
    <w:rsid w:val="00D32C13"/>
    <w:rsid w:val="00D3494B"/>
    <w:rsid w:val="00D42BAD"/>
    <w:rsid w:val="00D46AE4"/>
    <w:rsid w:val="00D518FA"/>
    <w:rsid w:val="00D51F11"/>
    <w:rsid w:val="00D61D4B"/>
    <w:rsid w:val="00D63C86"/>
    <w:rsid w:val="00D72618"/>
    <w:rsid w:val="00D73A6C"/>
    <w:rsid w:val="00D811FD"/>
    <w:rsid w:val="00D81649"/>
    <w:rsid w:val="00D91167"/>
    <w:rsid w:val="00D941D6"/>
    <w:rsid w:val="00D9442F"/>
    <w:rsid w:val="00DA20D7"/>
    <w:rsid w:val="00DA5A1D"/>
    <w:rsid w:val="00DB2C7E"/>
    <w:rsid w:val="00DC0755"/>
    <w:rsid w:val="00DC4B69"/>
    <w:rsid w:val="00DC772C"/>
    <w:rsid w:val="00DD5D05"/>
    <w:rsid w:val="00DD69F9"/>
    <w:rsid w:val="00DF13C7"/>
    <w:rsid w:val="00DF7381"/>
    <w:rsid w:val="00DF7910"/>
    <w:rsid w:val="00E0135B"/>
    <w:rsid w:val="00E01CD1"/>
    <w:rsid w:val="00E108EF"/>
    <w:rsid w:val="00E13F05"/>
    <w:rsid w:val="00E21367"/>
    <w:rsid w:val="00E304D9"/>
    <w:rsid w:val="00E31F47"/>
    <w:rsid w:val="00E3208B"/>
    <w:rsid w:val="00E37F2D"/>
    <w:rsid w:val="00E41BE4"/>
    <w:rsid w:val="00E52D27"/>
    <w:rsid w:val="00E75154"/>
    <w:rsid w:val="00E83529"/>
    <w:rsid w:val="00E961C1"/>
    <w:rsid w:val="00EA0001"/>
    <w:rsid w:val="00EB31D1"/>
    <w:rsid w:val="00EB5C27"/>
    <w:rsid w:val="00EB5F3F"/>
    <w:rsid w:val="00EC482E"/>
    <w:rsid w:val="00EC68FF"/>
    <w:rsid w:val="00ED24FD"/>
    <w:rsid w:val="00EE1E8E"/>
    <w:rsid w:val="00EE38FE"/>
    <w:rsid w:val="00EE5678"/>
    <w:rsid w:val="00EF0C5E"/>
    <w:rsid w:val="00EF7DED"/>
    <w:rsid w:val="00F01343"/>
    <w:rsid w:val="00F07175"/>
    <w:rsid w:val="00F1726B"/>
    <w:rsid w:val="00F17270"/>
    <w:rsid w:val="00F176DB"/>
    <w:rsid w:val="00F22E96"/>
    <w:rsid w:val="00F234D1"/>
    <w:rsid w:val="00F3328A"/>
    <w:rsid w:val="00F37788"/>
    <w:rsid w:val="00F41799"/>
    <w:rsid w:val="00F42137"/>
    <w:rsid w:val="00F50EE2"/>
    <w:rsid w:val="00F52BB8"/>
    <w:rsid w:val="00F558E7"/>
    <w:rsid w:val="00F61FB1"/>
    <w:rsid w:val="00F73F8E"/>
    <w:rsid w:val="00F75868"/>
    <w:rsid w:val="00F8094A"/>
    <w:rsid w:val="00F90D74"/>
    <w:rsid w:val="00F94DD1"/>
    <w:rsid w:val="00F94EF8"/>
    <w:rsid w:val="00F9519C"/>
    <w:rsid w:val="00F95204"/>
    <w:rsid w:val="00F95AF5"/>
    <w:rsid w:val="00F97061"/>
    <w:rsid w:val="00F9715B"/>
    <w:rsid w:val="00FA1E7F"/>
    <w:rsid w:val="00FA25FB"/>
    <w:rsid w:val="00FA5BDC"/>
    <w:rsid w:val="00FA709D"/>
    <w:rsid w:val="00FB18AD"/>
    <w:rsid w:val="00FB3D68"/>
    <w:rsid w:val="00FB5C04"/>
    <w:rsid w:val="00FB5FD4"/>
    <w:rsid w:val="00FD12D1"/>
    <w:rsid w:val="00FD69BA"/>
    <w:rsid w:val="00FE6928"/>
    <w:rsid w:val="00FE7EE3"/>
    <w:rsid w:val="00FF056F"/>
    <w:rsid w:val="00FF1C3D"/>
    <w:rsid w:val="040E2103"/>
    <w:rsid w:val="095B33CE"/>
    <w:rsid w:val="09665602"/>
    <w:rsid w:val="0B6B66B1"/>
    <w:rsid w:val="0BB77A80"/>
    <w:rsid w:val="177D2CD7"/>
    <w:rsid w:val="1F1E0F6D"/>
    <w:rsid w:val="1FA975DC"/>
    <w:rsid w:val="219D3A15"/>
    <w:rsid w:val="238D6C90"/>
    <w:rsid w:val="25EA0400"/>
    <w:rsid w:val="28CC2DCC"/>
    <w:rsid w:val="2A19242B"/>
    <w:rsid w:val="2EF017DA"/>
    <w:rsid w:val="303A54E4"/>
    <w:rsid w:val="31D30982"/>
    <w:rsid w:val="382B655B"/>
    <w:rsid w:val="3B097C4F"/>
    <w:rsid w:val="40D6637A"/>
    <w:rsid w:val="42501365"/>
    <w:rsid w:val="43AD7A14"/>
    <w:rsid w:val="43F132CF"/>
    <w:rsid w:val="448D6FE3"/>
    <w:rsid w:val="449618DB"/>
    <w:rsid w:val="44B73703"/>
    <w:rsid w:val="471F36A3"/>
    <w:rsid w:val="484F4A06"/>
    <w:rsid w:val="493D45A6"/>
    <w:rsid w:val="49D03A37"/>
    <w:rsid w:val="50FF2168"/>
    <w:rsid w:val="576B7153"/>
    <w:rsid w:val="58646A68"/>
    <w:rsid w:val="58EC1A98"/>
    <w:rsid w:val="5C5B1CE6"/>
    <w:rsid w:val="5CF2707F"/>
    <w:rsid w:val="5DEF6F66"/>
    <w:rsid w:val="63E958D4"/>
    <w:rsid w:val="66121965"/>
    <w:rsid w:val="677C6866"/>
    <w:rsid w:val="68976429"/>
    <w:rsid w:val="6C2806D0"/>
    <w:rsid w:val="74767B03"/>
    <w:rsid w:val="74AE48A4"/>
    <w:rsid w:val="78600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unhideWhenUsed/>
    <w:qFormat/>
    <w:uiPriority w:val="99"/>
    <w:pPr>
      <w:jc w:val="left"/>
    </w:pPr>
  </w:style>
  <w:style w:type="paragraph" w:styleId="6">
    <w:name w:val="Body Text Indent"/>
    <w:basedOn w:val="1"/>
    <w:link w:val="30"/>
    <w:unhideWhenUsed/>
    <w:qFormat/>
    <w:uiPriority w:val="0"/>
    <w:pPr>
      <w:spacing w:line="360" w:lineRule="auto"/>
      <w:ind w:firstLine="480"/>
    </w:pPr>
    <w:rPr>
      <w:rFonts w:ascii="Times New Roman" w:hAnsi="Times New Roman" w:eastAsia="宋体" w:cs="Times New Roman"/>
      <w:sz w:val="24"/>
      <w:szCs w:val="24"/>
    </w:rPr>
  </w:style>
  <w:style w:type="paragraph" w:styleId="7">
    <w:name w:val="toc 3"/>
    <w:basedOn w:val="1"/>
    <w:next w:val="1"/>
    <w:unhideWhenUsed/>
    <w:qFormat/>
    <w:uiPriority w:val="39"/>
    <w:pPr>
      <w:ind w:left="840" w:leftChars="400"/>
    </w:pPr>
  </w:style>
  <w:style w:type="paragraph" w:styleId="8">
    <w:name w:val="Plain Text"/>
    <w:basedOn w:val="1"/>
    <w:link w:val="29"/>
    <w:qFormat/>
    <w:uiPriority w:val="0"/>
    <w:rPr>
      <w:rFonts w:ascii="宋体" w:hAnsi="Courier New" w:eastAsia="宋体" w:cs="Times New Roman"/>
      <w:szCs w:val="20"/>
    </w:rPr>
  </w:style>
  <w:style w:type="paragraph" w:styleId="9">
    <w:name w:val="Date"/>
    <w:basedOn w:val="1"/>
    <w:next w:val="1"/>
    <w:link w:val="23"/>
    <w:semiHidden/>
    <w:qFormat/>
    <w:uiPriority w:val="0"/>
    <w:pPr>
      <w:ind w:left="100" w:leftChars="2500"/>
    </w:pPr>
    <w:rPr>
      <w:rFonts w:ascii="Times New Roman" w:hAnsi="Times New Roman" w:eastAsia="宋体" w:cs="Times New Roman"/>
      <w:sz w:val="24"/>
      <w:szCs w:val="24"/>
    </w:rPr>
  </w:style>
  <w:style w:type="paragraph" w:styleId="10">
    <w:name w:val="Balloon Text"/>
    <w:basedOn w:val="1"/>
    <w:link w:val="26"/>
    <w:unhideWhenUsed/>
    <w:qFormat/>
    <w:uiPriority w:val="99"/>
    <w:rPr>
      <w:sz w:val="18"/>
      <w:szCs w:val="18"/>
    </w:rPr>
  </w:style>
  <w:style w:type="paragraph" w:styleId="11">
    <w:name w:val="footer"/>
    <w:basedOn w:val="1"/>
    <w:link w:val="22"/>
    <w:unhideWhenUsed/>
    <w:qFormat/>
    <w:uiPriority w:val="0"/>
    <w:pPr>
      <w:tabs>
        <w:tab w:val="center" w:pos="4153"/>
        <w:tab w:val="right" w:pos="8306"/>
      </w:tabs>
      <w:snapToGrid w:val="0"/>
      <w:jc w:val="left"/>
    </w:pPr>
    <w:rPr>
      <w:sz w:val="18"/>
      <w:szCs w:val="18"/>
    </w:rPr>
  </w:style>
  <w:style w:type="paragraph" w:styleId="12">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2"/>
    <w:basedOn w:val="1"/>
    <w:next w:val="1"/>
    <w:unhideWhenUsed/>
    <w:qFormat/>
    <w:uiPriority w:val="39"/>
    <w:pPr>
      <w:ind w:left="420" w:leftChars="200"/>
    </w:pPr>
  </w:style>
  <w:style w:type="paragraph" w:styleId="15">
    <w:name w:val="Body Text 2"/>
    <w:basedOn w:val="1"/>
    <w:link w:val="31"/>
    <w:unhideWhenUsed/>
    <w:qFormat/>
    <w:uiPriority w:val="0"/>
    <w:pPr>
      <w:spacing w:after="120" w:line="480" w:lineRule="auto"/>
    </w:pPr>
    <w:rPr>
      <w:rFonts w:ascii="Times New Roman" w:hAnsi="Times New Roman" w:eastAsia="宋体" w:cs="Times New Roman"/>
      <w:szCs w:val="24"/>
    </w:rPr>
  </w:style>
  <w:style w:type="paragraph" w:styleId="1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9">
    <w:name w:val="page number"/>
    <w:basedOn w:val="18"/>
    <w:qFormat/>
    <w:uiPriority w:val="0"/>
  </w:style>
  <w:style w:type="character" w:styleId="20">
    <w:name w:val="Hyperlink"/>
    <w:basedOn w:val="18"/>
    <w:unhideWhenUsed/>
    <w:qFormat/>
    <w:uiPriority w:val="99"/>
    <w:rPr>
      <w:color w:val="0000FF"/>
      <w:u w:val="single"/>
    </w:rPr>
  </w:style>
  <w:style w:type="character" w:customStyle="1" w:styleId="21">
    <w:name w:val="页眉 Char"/>
    <w:basedOn w:val="18"/>
    <w:link w:val="12"/>
    <w:qFormat/>
    <w:uiPriority w:val="99"/>
    <w:rPr>
      <w:sz w:val="18"/>
      <w:szCs w:val="18"/>
    </w:rPr>
  </w:style>
  <w:style w:type="character" w:customStyle="1" w:styleId="22">
    <w:name w:val="页脚 Char"/>
    <w:basedOn w:val="18"/>
    <w:link w:val="11"/>
    <w:qFormat/>
    <w:uiPriority w:val="99"/>
    <w:rPr>
      <w:sz w:val="18"/>
      <w:szCs w:val="18"/>
    </w:rPr>
  </w:style>
  <w:style w:type="character" w:customStyle="1" w:styleId="23">
    <w:name w:val="日期 Char"/>
    <w:basedOn w:val="18"/>
    <w:link w:val="9"/>
    <w:semiHidden/>
    <w:qFormat/>
    <w:uiPriority w:val="0"/>
    <w:rPr>
      <w:rFonts w:ascii="Times New Roman" w:hAnsi="Times New Roman" w:eastAsia="宋体" w:cs="Times New Roman"/>
      <w:sz w:val="24"/>
      <w:szCs w:val="24"/>
    </w:rPr>
  </w:style>
  <w:style w:type="character" w:customStyle="1" w:styleId="24">
    <w:name w:val="标题 1 Char"/>
    <w:basedOn w:val="18"/>
    <w:link w:val="2"/>
    <w:qFormat/>
    <w:uiPriority w:val="9"/>
    <w:rPr>
      <w:b/>
      <w:bCs/>
      <w:kern w:val="44"/>
      <w:sz w:val="44"/>
      <w:szCs w:val="44"/>
    </w:rPr>
  </w:style>
  <w:style w:type="character" w:customStyle="1" w:styleId="25">
    <w:name w:val="标题 2 Char"/>
    <w:basedOn w:val="18"/>
    <w:link w:val="3"/>
    <w:qFormat/>
    <w:uiPriority w:val="9"/>
    <w:rPr>
      <w:rFonts w:asciiTheme="majorHAnsi" w:hAnsiTheme="majorHAnsi" w:eastAsiaTheme="majorEastAsia" w:cstheme="majorBidi"/>
      <w:b/>
      <w:bCs/>
      <w:sz w:val="32"/>
      <w:szCs w:val="32"/>
    </w:rPr>
  </w:style>
  <w:style w:type="character" w:customStyle="1" w:styleId="26">
    <w:name w:val="批注框文本 Char"/>
    <w:basedOn w:val="18"/>
    <w:link w:val="10"/>
    <w:semiHidden/>
    <w:qFormat/>
    <w:uiPriority w:val="99"/>
    <w:rPr>
      <w:sz w:val="18"/>
      <w:szCs w:val="18"/>
    </w:rPr>
  </w:style>
  <w:style w:type="paragraph" w:customStyle="1" w:styleId="2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占位符文本1"/>
    <w:basedOn w:val="18"/>
    <w:semiHidden/>
    <w:qFormat/>
    <w:uiPriority w:val="99"/>
    <w:rPr>
      <w:color w:val="808080"/>
    </w:rPr>
  </w:style>
  <w:style w:type="character" w:customStyle="1" w:styleId="29">
    <w:name w:val="纯文本 Char"/>
    <w:basedOn w:val="18"/>
    <w:link w:val="8"/>
    <w:qFormat/>
    <w:uiPriority w:val="0"/>
    <w:rPr>
      <w:rFonts w:ascii="宋体" w:hAnsi="Courier New" w:eastAsia="宋体" w:cs="Times New Roman"/>
      <w:szCs w:val="20"/>
    </w:rPr>
  </w:style>
  <w:style w:type="character" w:customStyle="1" w:styleId="30">
    <w:name w:val="正文文本缩进 Char"/>
    <w:basedOn w:val="18"/>
    <w:link w:val="6"/>
    <w:semiHidden/>
    <w:qFormat/>
    <w:uiPriority w:val="0"/>
    <w:rPr>
      <w:rFonts w:ascii="Times New Roman" w:hAnsi="Times New Roman" w:eastAsia="宋体" w:cs="Times New Roman"/>
      <w:sz w:val="24"/>
      <w:szCs w:val="24"/>
    </w:rPr>
  </w:style>
  <w:style w:type="character" w:customStyle="1" w:styleId="31">
    <w:name w:val="正文文本 2 Char"/>
    <w:basedOn w:val="18"/>
    <w:link w:val="15"/>
    <w:semiHidden/>
    <w:qFormat/>
    <w:uiPriority w:val="0"/>
    <w:rPr>
      <w:rFonts w:ascii="Times New Roman" w:hAnsi="Times New Roman" w:eastAsia="宋体" w:cs="Times New Roman"/>
      <w:szCs w:val="24"/>
    </w:rPr>
  </w:style>
  <w:style w:type="character" w:customStyle="1" w:styleId="32">
    <w:name w:val="标题 3 Char"/>
    <w:basedOn w:val="18"/>
    <w:link w:val="4"/>
    <w:qFormat/>
    <w:uiPriority w:val="9"/>
    <w:rPr>
      <w:b/>
      <w:bCs/>
      <w:sz w:val="32"/>
      <w:szCs w:val="32"/>
    </w:rPr>
  </w:style>
  <w:style w:type="paragraph" w:customStyle="1" w:styleId="33">
    <w:name w:val="列出段落1"/>
    <w:basedOn w:val="1"/>
    <w:qFormat/>
    <w:uiPriority w:val="34"/>
    <w:pPr>
      <w:ind w:firstLine="420" w:firstLineChars="200"/>
    </w:p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35">
    <w:name w:val="批注文字 Char"/>
    <w:basedOn w:val="18"/>
    <w:link w:val="5"/>
    <w:semiHidden/>
    <w:qFormat/>
    <w:uiPriority w:val="99"/>
  </w:style>
  <w:style w:type="paragraph" w:styleId="3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E63F-92DA-40D8-BF5B-46F81C2AD0F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2359</Words>
  <Characters>2399</Characters>
  <Lines>18</Lines>
  <Paragraphs>5</Paragraphs>
  <TotalTime>14</TotalTime>
  <ScaleCrop>false</ScaleCrop>
  <LinksUpToDate>false</LinksUpToDate>
  <CharactersWithSpaces>2554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2018-10-22T09:10:00Z</dcterms:created>
  <dc:creator>微软用户</dc:creator>
  <cp:lastModifiedBy>邵文静</cp:lastModifiedBy>
  <cp:lastPrinted>2016-08-30T05:08:00Z</cp:lastPrinted>
  <dcterms:modified xsi:type="dcterms:W3CDTF">2023-10-18T07:45:21Z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RubyTemplateID" linkTarget="0">
    <vt:lpwstr>6</vt:lpwstr>
  </property>
  <property fmtid="{D5CDD505-2E9C-101B-9397-08002B2CF9AE}" pid="4" name="ICV">
    <vt:lpwstr>BD83B61EF0FF4D3B866E62C2A7F322E5_12</vt:lpwstr>
  </property>
</Properties>
</file>